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1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2202750" y="0"/>
                                <a:chExt cx="6286500" cy="75600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2202750" y="0"/>
                                  <a:ext cx="628650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2202750" y="0"/>
                                  <a:ext cx="6286500" cy="7560000"/>
                                  <a:chOff x="2202750" y="0"/>
                                  <a:chExt cx="6286500" cy="7560000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2202750" y="0"/>
                                    <a:ext cx="6286500" cy="756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2202750" y="0"/>
                                    <a:ext cx="6286500" cy="7560000"/>
                                    <a:chOff x="-133357" y="-2276513"/>
                                    <a:chExt cx="6286835" cy="8320544"/>
                                  </a:xfrm>
                                </wpg:grpSpPr>
                                <wps:wsp>
                                  <wps:cNvSpPr/>
                                  <wps:cNvPr id="11" name="Shape 11"/>
                                  <wps:spPr>
                                    <a:xfrm>
                                      <a:off x="-133357" y="-2276513"/>
                                      <a:ext cx="6286825" cy="832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s:wsp>
                                  <wps:cNvSpPr/>
                                  <wps:cNvPr id="12" name="Shape 12"/>
                                  <wps:spPr>
                                    <a:xfrm>
                                      <a:off x="2980383" y="5629376"/>
                                      <a:ext cx="3173095" cy="4146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200" w:before="0" w:line="275.00000953674316"/>
                                          <w:ind w:left="0" w:right="0" w:firstLine="0"/>
                                          <w:jc w:val="righ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t" bIns="45700" lIns="91425" spcFirstLastPara="1" rIns="91425" wrap="square" tIns="45700">
                                    <a:noAutofit/>
                                  </wps:bodyPr>
                                </wps:wsp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-133357" y="-2276513"/>
                                      <a:ext cx="5485128" cy="46151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8"/>
                                            <w:vertAlign w:val="baseline"/>
                                          </w:rPr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8"/>
                                            <w:vertAlign w:val="baseline"/>
                                          </w:rPr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8"/>
                                            <w:vertAlign w:val="baseline"/>
                                          </w:rPr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8"/>
                                            <w:vertAlign w:val="baseline"/>
                                          </w:rPr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Arial" w:cs="Arial" w:eastAsia="Arial" w:hAnsi="Arial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8"/>
                                            <w:vertAlign w:val="baseline"/>
                                          </w:rPr>
                                        </w: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1"/>
                                            <w:i w:val="0"/>
                                            <w:smallCaps w:val="0"/>
                                            <w:strike w:val="0"/>
                                            <w:color w:val="1f497d"/>
                                            <w:sz w:val="72"/>
                                            <w:vertAlign w:val="baseline"/>
                                          </w:rPr>
                                          <w:t xml:space="preserve">Framework </w:t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1"/>
                                            <w:i w:val="0"/>
                                            <w:smallCaps w:val="0"/>
                                            <w:strike w:val="0"/>
                                            <w:color w:val="1f497d"/>
                                            <w:sz w:val="72"/>
                                            <w:vertAlign w:val="baseline"/>
                                          </w:rPr>
                                        </w: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1"/>
                                            <w:i w:val="0"/>
                                            <w:smallCaps w:val="0"/>
                                            <w:strike w:val="0"/>
                                            <w:color w:val="1f497d"/>
                                            <w:sz w:val="72"/>
                                            <w:vertAlign w:val="baseline"/>
                                          </w:rPr>
                                          <w:t xml:space="preserve">Award Form</w:t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spacing w:after="200" w:before="0" w:line="275.00000953674316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1"/>
                                            <w:i w:val="0"/>
                                            <w:smallCaps w:val="0"/>
                                            <w:strike w:val="0"/>
                                            <w:color w:val="1f497d"/>
                                            <w:sz w:val="72"/>
                                            <w:vertAlign w:val="baseline"/>
                                          </w:rPr>
                                        </w:r>
                                      </w:p>
                                    </w:txbxContent>
                                  </wps:txbx>
                                  <wps:bodyPr anchorCtr="0" anchor="b" bIns="45700" lIns="91425" spcFirstLastPara="1" rIns="91425" wrap="square" tIns="4570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1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96525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14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Contract. It summarises the main features of the procurement and includes CCS and the Supplier’s contact details.</w:t>
      </w:r>
    </w:p>
    <w:tbl>
      <w:tblPr>
        <w:tblStyle w:val="Table1"/>
        <w:tblW w:w="10531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36"/>
        <w:gridCol w:w="2025"/>
        <w:gridCol w:w="8070"/>
        <w:tblGridChange w:id="0">
          <w:tblGrid>
            <w:gridCol w:w="436"/>
            <w:gridCol w:w="2025"/>
            <w:gridCol w:w="8070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whit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[Supplier Name]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whit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[Supplier Address]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1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whit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[Supplier Registration]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3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SID4GOV ID: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whit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[Supplier SID4GOV ID]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5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4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   Framework Contract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contract between CCS and the Supplier allows the Supplier to be considered for Call-off Contracts to supply the Deliverables [Lot]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You cannot deliver in any other Lot under this contract. Any references made to other Lots in this contract do not apply.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the Find a Tender Service reference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2022/S 000-004216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(FTS Contract Notice).</w:t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3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after="0" w:lineRule="auto"/>
              <w:ind w:right="936"/>
              <w:rPr>
                <w:rFonts w:ascii="Arial" w:cs="Arial" w:eastAsia="Arial" w:hAnsi="Arial"/>
                <w:color w:val="222222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4"/>
                <w:szCs w:val="24"/>
                <w:highlight w:val="white"/>
                <w:rtl w:val="0"/>
              </w:rPr>
              <w:t xml:space="preserve">Lot 1 &amp; Lot 2 - 2nd September 2022</w:t>
            </w:r>
          </w:p>
          <w:p w:rsidR="00000000" w:rsidDel="00000000" w:rsidP="00000000" w:rsidRDefault="00000000" w:rsidRPr="00000000" w14:paraId="00000026">
            <w:pPr>
              <w:spacing w:after="0" w:lineRule="auto"/>
              <w:ind w:right="936"/>
              <w:rPr>
                <w:rFonts w:ascii="Arial" w:cs="Arial" w:eastAsia="Arial" w:hAnsi="Arial"/>
                <w:color w:val="222222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Expiry Date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4"/>
                <w:szCs w:val="24"/>
                <w:highlight w:val="white"/>
                <w:rtl w:val="0"/>
              </w:rPr>
              <w:t xml:space="preserve">Lot 1 &amp; Lot 2 - </w:t>
            </w:r>
            <w:r w:rsidDel="00000000" w:rsidR="00000000" w:rsidRPr="00000000">
              <w:rPr>
                <w:rFonts w:ascii="Arial" w:cs="Arial" w:eastAsia="Arial" w:hAnsi="Arial"/>
                <w:color w:val="222222"/>
                <w:sz w:val="24"/>
                <w:szCs w:val="24"/>
                <w:rtl w:val="0"/>
              </w:rPr>
              <w:t xml:space="preserve">1st September 2024</w:t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4"/>
                <w:szCs w:val="24"/>
                <w:rtl w:val="0"/>
              </w:rPr>
              <w:t xml:space="preserve">The initial duration of the Framework is 2 years, with an option to extend for 2 periods of 1 year (2+1+1). CCS reserves the right to extend lots by varying durations.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4"/>
                <w:szCs w:val="24"/>
                <w:rtl w:val="0"/>
              </w:rPr>
              <w:t xml:space="preserve">Option to extend for 2 periods of 1 year (2+1+1).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direct award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further competition</w:t>
            </w:r>
          </w:p>
          <w:p w:rsidR="00000000" w:rsidDel="00000000" w:rsidP="00000000" w:rsidRDefault="00000000" w:rsidRPr="00000000" w14:paraId="00000039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3B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Incorporated Terms </w:t>
            </w:r>
          </w:p>
          <w:p w:rsidR="00000000" w:rsidDel="00000000" w:rsidP="00000000" w:rsidRDefault="00000000" w:rsidRPr="00000000" w14:paraId="0000003E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(together these documents form the ‘the Framework Contract’)</w:t>
            </w:r>
          </w:p>
          <w:p w:rsidR="00000000" w:rsidDel="00000000" w:rsidP="00000000" w:rsidRDefault="00000000" w:rsidRPr="00000000" w14:paraId="00000040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 (Definitions)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RM6290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11 (Processing Data)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RM6290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RM6290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56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57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58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59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5A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5B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5C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 (Staff Transfer)</w:t>
            </w:r>
          </w:p>
          <w:p w:rsidR="00000000" w:rsidDel="00000000" w:rsidP="00000000" w:rsidRDefault="00000000" w:rsidRPr="00000000" w14:paraId="0000005D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5E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4 (Call-Off Tender)</w:t>
              <w:tab/>
              <w:tab/>
            </w:r>
          </w:p>
          <w:p w:rsidR="00000000" w:rsidDel="00000000" w:rsidP="00000000" w:rsidRDefault="00000000" w:rsidRPr="00000000" w14:paraId="0000005F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5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Pricing Details)</w:t>
              <w:tab/>
              <w:t xml:space="preserve">           </w:t>
            </w:r>
          </w:p>
          <w:p w:rsidR="00000000" w:rsidDel="00000000" w:rsidP="00000000" w:rsidRDefault="00000000" w:rsidRPr="00000000" w14:paraId="00000060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6 (ICT Services) </w:t>
              <w:tab/>
              <w:tab/>
            </w:r>
          </w:p>
          <w:p w:rsidR="00000000" w:rsidDel="00000000" w:rsidP="00000000" w:rsidRDefault="00000000" w:rsidRPr="00000000" w14:paraId="00000061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7 (Key Supplier Staff)</w:t>
              <w:tab/>
              <w:tab/>
            </w:r>
          </w:p>
          <w:p w:rsidR="00000000" w:rsidDel="00000000" w:rsidP="00000000" w:rsidRDefault="00000000" w:rsidRPr="00000000" w14:paraId="00000062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8 (Business Continuity and Disaster Recovery) </w:t>
            </w:r>
          </w:p>
          <w:p w:rsidR="00000000" w:rsidDel="00000000" w:rsidP="00000000" w:rsidRDefault="00000000" w:rsidRPr="00000000" w14:paraId="00000063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9 (Security) </w:t>
            </w:r>
          </w:p>
          <w:p w:rsidR="00000000" w:rsidDel="00000000" w:rsidP="00000000" w:rsidRDefault="00000000" w:rsidRPr="00000000" w14:paraId="00000064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10 (Exit Management) </w:t>
              <w:tab/>
            </w:r>
          </w:p>
          <w:p w:rsidR="00000000" w:rsidDel="00000000" w:rsidP="00000000" w:rsidRDefault="00000000" w:rsidRPr="00000000" w14:paraId="00000065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12 (Clustering) </w:t>
              <w:tab/>
              <w:tab/>
            </w:r>
          </w:p>
          <w:p w:rsidR="00000000" w:rsidDel="00000000" w:rsidP="00000000" w:rsidRDefault="00000000" w:rsidRPr="00000000" w14:paraId="00000066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13 (Implementation Plan and Testing)</w:t>
            </w:r>
          </w:p>
          <w:p w:rsidR="00000000" w:rsidDel="00000000" w:rsidP="00000000" w:rsidRDefault="00000000" w:rsidRPr="00000000" w14:paraId="00000067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14 (Service Levels)</w:t>
            </w:r>
          </w:p>
          <w:p w:rsidR="00000000" w:rsidDel="00000000" w:rsidP="00000000" w:rsidRDefault="00000000" w:rsidRPr="00000000" w14:paraId="00000068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15 (Call-Off Contract Management)</w:t>
            </w:r>
          </w:p>
          <w:p w:rsidR="00000000" w:rsidDel="00000000" w:rsidP="00000000" w:rsidRDefault="00000000" w:rsidRPr="00000000" w14:paraId="00000069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16 (Benchmarking) </w:t>
              <w:tab/>
              <w:tab/>
            </w:r>
          </w:p>
          <w:p w:rsidR="00000000" w:rsidDel="00000000" w:rsidP="00000000" w:rsidRDefault="00000000" w:rsidRPr="00000000" w14:paraId="0000006A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17 (MOD Terms) </w:t>
              <w:tab/>
              <w:tab/>
              <w:t xml:space="preserve">               </w:t>
            </w:r>
          </w:p>
          <w:p w:rsidR="00000000" w:rsidDel="00000000" w:rsidP="00000000" w:rsidRDefault="00000000" w:rsidRPr="00000000" w14:paraId="0000006B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18 (Background Checks) </w:t>
              <w:tab/>
            </w:r>
          </w:p>
          <w:p w:rsidR="00000000" w:rsidDel="00000000" w:rsidP="00000000" w:rsidRDefault="00000000" w:rsidRPr="00000000" w14:paraId="0000006C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19 (Scottish Law)</w:t>
              <w:tab/>
              <w:tab/>
              <w:t xml:space="preserve">      </w:t>
            </w:r>
          </w:p>
          <w:p w:rsidR="00000000" w:rsidDel="00000000" w:rsidP="00000000" w:rsidRDefault="00000000" w:rsidRPr="00000000" w14:paraId="0000006D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20 (Call-Off Specification)   </w:t>
            </w:r>
          </w:p>
          <w:p w:rsidR="00000000" w:rsidDel="00000000" w:rsidP="00000000" w:rsidRDefault="00000000" w:rsidRPr="00000000" w14:paraId="0000006E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21 (Northern Ireland Law)  </w:t>
            </w:r>
          </w:p>
          <w:p w:rsidR="00000000" w:rsidDel="00000000" w:rsidP="00000000" w:rsidRDefault="00000000" w:rsidRPr="00000000" w14:paraId="0000006F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23 (HMRC Terms)                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9 (Cyber Essentials Scheme) 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6 (Key Subcontractors)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7 (Financial Difficulties)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8 (Guarantee)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9 (Minimum Standards of Reliability)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12 (Supply Chain Visibility)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Core Terms (version 3.0.11)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5 (Corporate Social Responsibility)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RM6290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RM6290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as long as any part of the Framework Tender that offers a better commercial position for CCS or Buyers (as decided by CCS) take precedence over the documents above 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0" w:hRule="atLeast"/>
          <w:tblHeader w:val="0"/>
        </w:trPr>
        <w:tc>
          <w:tcPr/>
          <w:p w:rsidR="00000000" w:rsidDel="00000000" w:rsidP="00000000" w:rsidRDefault="00000000" w:rsidRPr="00000000" w14:paraId="0000008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Special Terms</w:t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Special Term 1 - ‘N/A’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Prices </w:t>
            </w:r>
          </w:p>
        </w:tc>
        <w:tc>
          <w:tcPr/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8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Essentials Certification</w:t>
            </w:r>
          </w:p>
        </w:tc>
        <w:tc>
          <w:tcPr/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Cyber Essentials Scheme Certificate (or equivalent). Details in Framework Schedule 9 (Cyber Essentials Scheme)</w:t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 Charge</w:t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Supplier will pay, excluding VAT,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1.5%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Management Charge of all the Charges for the Deliverables invoiced to the Buyer under all Call-Off Contracts.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3znysh7" w:id="1"/>
            <w:bookmarkEnd w:id="1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Compliance Officer</w:t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 Protection 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Data Protection Liability Cap</w:t>
            </w:r>
          </w:p>
        </w:tc>
        <w:tc>
          <w:tcPr/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£10,000,000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Marketing Contact</w:t>
            </w:r>
          </w:p>
        </w:tc>
        <w:tc>
          <w:tcPr/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D">
            <w:pPr>
              <w:spacing w:after="120" w:before="12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Please see embedded folder within the Framework Contract Documents folder.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bookmarkStart w:colFirst="0" w:colLast="0" w:name="_heading=h.30j0zll" w:id="2"/>
            <w:bookmarkEnd w:id="2"/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C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C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C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C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D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D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D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D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72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[Date]</w:t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 [Date]</w:t>
            </w:r>
          </w:p>
        </w:tc>
      </w:tr>
    </w:tbl>
    <w:bookmarkStart w:colFirst="0" w:colLast="0" w:name="bookmark=id.30j0zll" w:id="3"/>
    <w:bookmarkEnd w:id="3"/>
    <w:p w:rsidR="00000000" w:rsidDel="00000000" w:rsidP="00000000" w:rsidRDefault="00000000" w:rsidRPr="00000000" w14:paraId="000000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1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5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RM6290</w:t>
      <w:tab/>
      <w:t xml:space="preserve">                                           </w:t>
    </w:r>
  </w:p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v3.8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D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D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E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644" w:hanging="357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4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lang w:eastAsia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uiPriority w:val="9"/>
    <w:semiHidden w:val="1"/>
    <w:unhideWhenUsed w:val="1"/>
    <w:qFormat w:val="1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 w:val="1"/>
    <w:unhideWhenUsed w:val="1"/>
    <w:qFormat w:val="1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numbering" w:styleId="WWOutlineListStyle8" w:customStyle="1">
    <w:name w:val="WW_OutlineListStyle_8"/>
    <w:basedOn w:val="NoList"/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outlineLvl w:val="0"/>
    </w:pPr>
    <w:rPr>
      <w:rFonts w:ascii="Arial" w:eastAsia="Times New Roman" w:hAnsi="Arial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5"/>
      </w:numPr>
      <w:suppressAutoHyphens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styleId="Style1" w:customStyle="1">
    <w:name w:val="Style1"/>
    <w:basedOn w:val="ListParagraph"/>
    <w:pPr>
      <w:tabs>
        <w:tab w:val="num" w:pos="720"/>
      </w:tabs>
      <w:ind w:hanging="720"/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rPr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cs="Arial" w:eastAsia="Times New Roman" w:hAnsi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outlineLvl w:val="1"/>
    </w:pPr>
    <w:rPr>
      <w:rFonts w:ascii="Arial" w:eastAsia="Times New Roman" w:hAnsi="Arial"/>
      <w:b w:val="1"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8Number" w:customStyle="1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cs="Arial" w:eastAsia="Times New Roman"/>
      <w:szCs w:val="24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</w:pPr>
    <w:rPr>
      <w:rFonts w:ascii="Arial" w:cs="Arial" w:eastAsia="Times New Roman" w:hAnsi="Arial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cs="Arial"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tabs>
        <w:tab w:val="num" w:pos="720"/>
      </w:tabs>
      <w:ind w:left="720" w:hanging="720"/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</w:style>
  <w:style w:type="numbering" w:styleId="WWOutlineListStyle6" w:customStyle="1">
    <w:name w:val="WW_OutlineListStyle_6"/>
    <w:basedOn w:val="NoList"/>
  </w:style>
  <w:style w:type="numbering" w:styleId="WWOutlineListStyle5" w:customStyle="1">
    <w:name w:val="WW_OutlineListStyle_5"/>
    <w:basedOn w:val="NoList"/>
  </w:style>
  <w:style w:type="numbering" w:styleId="WWOutlineListStyle4" w:customStyle="1">
    <w:name w:val="WW_OutlineListStyle_4"/>
    <w:basedOn w:val="NoList"/>
  </w:style>
  <w:style w:type="numbering" w:styleId="WWOutlineListStyle3" w:customStyle="1">
    <w:name w:val="WW_OutlineListStyle_3"/>
    <w:basedOn w:val="NoList"/>
  </w:style>
  <w:style w:type="numbering" w:styleId="WWOutlineListStyle2" w:customStyle="1">
    <w:name w:val="WW_OutlineListStyle_2"/>
    <w:basedOn w:val="NoList"/>
  </w:style>
  <w:style w:type="numbering" w:styleId="WWOutlineListStyle1" w:customStyle="1">
    <w:name w:val="WW_OutlineListStyle_1"/>
    <w:basedOn w:val="NoList"/>
  </w:style>
  <w:style w:type="numbering" w:styleId="WWOutlineListStyle" w:customStyle="1">
    <w:name w:val="WW_OutlineListStyle"/>
    <w:basedOn w:val="NoList"/>
  </w:style>
  <w:style w:type="numbering" w:styleId="LFO7" w:customStyle="1">
    <w:name w:val="LFO7"/>
    <w:basedOn w:val="NoList"/>
  </w:style>
  <w:style w:type="numbering" w:styleId="LFO9" w:customStyle="1">
    <w:name w:val="LFO9"/>
    <w:basedOn w:val="NoList"/>
  </w:style>
  <w:style w:type="numbering" w:styleId="LFO10" w:customStyle="1">
    <w:name w:val="LFO10"/>
    <w:basedOn w:val="NoList"/>
  </w:style>
  <w:style w:type="numbering" w:styleId="LFO12" w:customStyle="1">
    <w:name w:val="LFO12"/>
    <w:basedOn w:val="NoList"/>
  </w:style>
  <w:style w:type="numbering" w:styleId="LFO13" w:customStyle="1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2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3" w:customStyle="1">
    <w:basedOn w:val="TableNormal"/>
    <w:rPr>
      <w:color w:val="366091"/>
    </w:rPr>
    <w:tblPr>
      <w:tblStyleRowBandSize w:val="1"/>
      <w:tblStyleColBandSize w:val="1"/>
    </w:tblPr>
  </w:style>
  <w:style w:type="table" w:styleId="a4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5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6" w:customStyle="1">
    <w:basedOn w:val="TableNormal"/>
    <w:rPr>
      <w:color w:val="366091"/>
    </w:rPr>
    <w:tblPr>
      <w:tblStyleRowBandSize w:val="1"/>
      <w:tblStyleColBandSize w:val="1"/>
    </w:tblPr>
  </w:style>
  <w:style w:type="table" w:styleId="a7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8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9" w:customStyle="1">
    <w:basedOn w:val="TableNormal"/>
    <w:rPr>
      <w:color w:val="366091"/>
    </w:rPr>
    <w:tblPr>
      <w:tblStyleRowBandSize w:val="1"/>
      <w:tblStyleColBandSize w:val="1"/>
    </w:tblPr>
  </w:style>
  <w:style w:type="table" w:styleId="aa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footer" Target="footer1.xml"/><Relationship Id="rId12" Type="http://schemas.openxmlformats.org/officeDocument/2006/relationships/image" Target="media/image1.png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DhRFVB1alxpzy8wVlbaKx7zJTw==">AMUW2mWFta/p5z6d9F5FVv9QYnhODNRBQ6ATEB9a7yuRlABRnZThUj0ZeM6RvszyuaYuBTvDL9CQzKksK4lTgCGu61+b4/9bBeU39ntxQShkxrQ1KrnGr02qYYsF5bHnGV8pytpqZGQBI3wwWa1YLACSOtCBoRb/ckJS03cMBGzU/VBU7Q5Cx64=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2022-02-21T11:08:00Z</dcterms:created>
  <dc:creator>Sal Tempera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